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50"/>
        <w:gridCol w:w="8354"/>
      </w:tblGrid>
      <w:tr w:rsidR="00575630" w:rsidRPr="00575630">
        <w:trPr>
          <w:tblCellSpacing w:w="0" w:type="dxa"/>
        </w:trPr>
        <w:tc>
          <w:tcPr>
            <w:tcW w:w="150" w:type="dxa"/>
            <w:vAlign w:val="center"/>
            <w:hideMark/>
          </w:tcPr>
          <w:p w:rsidR="00575630" w:rsidRPr="00575630" w:rsidRDefault="00575630" w:rsidP="00575630">
            <w:pPr>
              <w:spacing w:after="0"/>
              <w:rPr>
                <w:rFonts w:ascii="Times New Roman" w:eastAsia="Times New Roman" w:hAnsi="Times New Roman" w:cs="Times New Roman"/>
                <w:sz w:val="24"/>
                <w:szCs w:val="24"/>
                <w:lang w:eastAsia="es-ES"/>
              </w:rPr>
            </w:pPr>
          </w:p>
        </w:tc>
        <w:tc>
          <w:tcPr>
            <w:tcW w:w="0" w:type="auto"/>
            <w:vAlign w:val="center"/>
            <w:hideMark/>
          </w:tcPr>
          <w:p w:rsidR="00575630" w:rsidRPr="00575630" w:rsidRDefault="00575630" w:rsidP="00575630">
            <w:pPr>
              <w:spacing w:before="100" w:beforeAutospacing="1" w:after="100" w:afterAutospacing="1"/>
              <w:jc w:val="both"/>
              <w:rPr>
                <w:rFonts w:ascii="Arial" w:eastAsia="Times New Roman" w:hAnsi="Arial" w:cs="Arial"/>
                <w:color w:val="000000"/>
                <w:sz w:val="21"/>
                <w:szCs w:val="21"/>
                <w:lang w:eastAsia="es-ES"/>
              </w:rPr>
            </w:pPr>
            <w:r w:rsidRPr="00575630">
              <w:rPr>
                <w:rFonts w:ascii="Arial" w:eastAsia="Times New Roman" w:hAnsi="Arial" w:cs="Arial"/>
                <w:color w:val="000000"/>
                <w:sz w:val="21"/>
                <w:szCs w:val="21"/>
                <w:lang w:eastAsia="es-ES"/>
              </w:rPr>
              <w:t>El próximo 1 de julio la AEAT implantará el Suministro Inmediato de Información del IVA (SII), con el objetivo de crear una nueva base de datos que ayudará a empresarios, profesionales y otros sujetos pasivos a presentar sus autoliquidaciones de IVA.</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A partir del 1 de julio de 2017, se implantará el Suministro Inmediato de Información del IVA (SII). Se trata de un nuevo sistema mediante el cual la AEAT tiene previsto crear una nueva base de datos fiscales que podrá utilizar un sujeto pasivo en el momento de presentar sus autoliquidaciones por IVA y así verificar el detalle de las operaciones que se le imputan, en el caso de que sus proveedores también se encuentren acogidos al SII.</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r>
            <w:r w:rsidRPr="00575630">
              <w:rPr>
                <w:rFonts w:ascii="Arial" w:eastAsia="Times New Roman" w:hAnsi="Arial" w:cs="Arial"/>
                <w:b/>
                <w:bCs/>
                <w:color w:val="000000"/>
                <w:sz w:val="21"/>
                <w:szCs w:val="21"/>
                <w:lang w:eastAsia="es-ES"/>
              </w:rPr>
              <w:t>¿Quiénes estarán obligados a acogerse al SII?</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El Suministro Inmediato de Información del IVA resultará obligatorio para empresarios, profesionales y todos aquellos sujetos pasivos cuyo período de liquidación coincida con el mes natural. Dicho de otra manera, el SII afectará a:</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 Personas cuyo volumen de operaciones hubiese excedido la cifra de 6.010.121,04 euros durante el año natural inmediato anterior, calculado de acuerdo con el artículo 121 de la Ley del IVA.</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 Empresarios, profesionales y sujetos pasivos que apliquen el sistema de devolución mensual previstos en el artículo 30 del Reglamento del IVA y que, al mismo tiempo, se encuentren inscritos en el REDEME.</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 Entidades acogidas al régimen especial del grupo de entidades.</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Respecto a aquellos empresarios, profesionales y sujetos pasivos que decidan acogerse voluntariamente al SII, el período de autoliquidación será mensual en vez de trimestral.</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r>
            <w:r w:rsidRPr="00575630">
              <w:rPr>
                <w:rFonts w:ascii="Arial" w:eastAsia="Times New Roman" w:hAnsi="Arial" w:cs="Arial"/>
                <w:b/>
                <w:bCs/>
                <w:color w:val="000000"/>
                <w:sz w:val="21"/>
                <w:szCs w:val="21"/>
                <w:lang w:eastAsia="es-ES"/>
              </w:rPr>
              <w:t>Documentación necesaria</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Los sujetos pasivos acogidos al Suministro Inmediato de Información del IVA deberán presentar los siguientes Libros Registro mediante el suministro electrónico de los registros de facturación a través de la  Sede Electrónica de la AEAT, donde la información se irá configurando casi en tiempo real:</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 Libro registro de facturas expedidas</w:t>
            </w:r>
            <w:r w:rsidRPr="00575630">
              <w:rPr>
                <w:rFonts w:ascii="Arial" w:eastAsia="Times New Roman" w:hAnsi="Arial" w:cs="Arial"/>
                <w:color w:val="000000"/>
                <w:sz w:val="21"/>
                <w:szCs w:val="21"/>
                <w:lang w:eastAsia="es-ES"/>
              </w:rPr>
              <w:br/>
              <w:t>- Libro registro de facturas recibidas</w:t>
            </w:r>
            <w:r w:rsidRPr="00575630">
              <w:rPr>
                <w:rFonts w:ascii="Arial" w:eastAsia="Times New Roman" w:hAnsi="Arial" w:cs="Arial"/>
                <w:color w:val="000000"/>
                <w:sz w:val="21"/>
                <w:szCs w:val="21"/>
                <w:lang w:eastAsia="es-ES"/>
              </w:rPr>
              <w:br/>
              <w:t>- Libro registro de bienes de inversión</w:t>
            </w:r>
            <w:r w:rsidRPr="00575630">
              <w:rPr>
                <w:rFonts w:ascii="Arial" w:eastAsia="Times New Roman" w:hAnsi="Arial" w:cs="Arial"/>
                <w:color w:val="000000"/>
                <w:sz w:val="21"/>
                <w:szCs w:val="21"/>
                <w:lang w:eastAsia="es-ES"/>
              </w:rPr>
              <w:br/>
              <w:t>- Libro registro de determinadas operaciones intracomunitarias</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 xml:space="preserve">No será necesario enviar las facturas, bastará con remitir los campos de los registros de facturación. </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r>
            <w:r w:rsidRPr="00575630">
              <w:rPr>
                <w:rFonts w:ascii="Arial" w:eastAsia="Times New Roman" w:hAnsi="Arial" w:cs="Arial"/>
                <w:b/>
                <w:bCs/>
                <w:color w:val="000000"/>
                <w:sz w:val="21"/>
                <w:szCs w:val="21"/>
                <w:lang w:eastAsia="es-ES"/>
              </w:rPr>
              <w:t>Plazo</w:t>
            </w:r>
            <w:bookmarkStart w:id="0" w:name="_GoBack"/>
            <w:bookmarkEnd w:id="0"/>
            <w:r w:rsidRPr="00575630">
              <w:rPr>
                <w:rFonts w:ascii="Arial" w:eastAsia="Times New Roman" w:hAnsi="Arial" w:cs="Arial"/>
                <w:b/>
                <w:bCs/>
                <w:color w:val="000000"/>
                <w:sz w:val="21"/>
                <w:szCs w:val="21"/>
                <w:lang w:eastAsia="es-ES"/>
              </w:rPr>
              <w:t xml:space="preserve"> de presentación</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El plazo para el suministro de la información será el siguiente:</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 Respecto a las Facturas expedidas, el plazo será de cuatro días naturales desde la expedición de la factura, salvo que se trate de facturas expedidas por el destinatario o por un tercero en cuyo caso el plazo será de ocho días naturales. En ambos supuestos, el suministro deberá realizarse antes del 16 del mes siguiente a aquel en que se hubiera producido el devengo del Impuesto correspondiente a la operación que debe registrarse.</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lastRenderedPageBreak/>
              <w:t>- En relación a las Facturas recibidas, el plazo de suministro será de cuatro días naturales desde la fecha en que se produzca el registro contable de la factura y siempre en una fecha previa al día 16 del mes siguiente al período de liquidación en que se hayan incluido las operaciones correspondientes. En el caso de las operaciones de importación, los cuatro días naturales se deberán de computar desde que se produzca el registro contable del documento en el que conste la cuota liquidada por las aduanas y siempre antes del día 16 del mes siguiente al final del período al que se refiera la declaración en la que se haya incluido.</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 Respecto a los Bienes de inversión, el suministro de la información deberá ser dentro del plazo de presentación del último período de liquidación del año (hasta el 30 de enero).</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 Para las Operaciones intracomunitarias, el plazo será de cuatro días naturales desde el momento de inicio de la expedición o transporte o, en su defecto, desde el momento de la recepción de los bienes a los que se refieren.</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Un aspecto a tener en cuenta es que del cómputo del plazo de cuatro y ocho días naturales a los que se refieren los apartados anteriores quedarán excluidos los sábados, los domingos y los festivos nacionales.</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Si bien es cierto que la entrada en vigor del Suministro Inmediato de Información del IVA está prevista para el próximo 1 de julio, para el 2017 se establecen dos excepciones a las reglas descritas anteriormente:</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1. El plazo para suministrar la información en operaciones realizadas o recibidas entre el 1 de julio y el 31 de diciembre de 2017 será de ocho días naturales en vez de cuatro días.</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2. Los empresarios, profesionales y/o sujetos pasivos obligados a aplicar el nuevo sistema de llevanza de libros registro estarán obligados a enviar los libros registros de facturación correspondiente al primer semestre de 2017 durante el período comprendido entre el 1 de julio y el 31 de diciembre de 2017.</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 xml:space="preserve">A partir del 1 de julio, el plazo de presentación de las liquidaciones mensuales se ampliará hasta el 30 de cada mes y, además, la liquidación correspondiente al mes de enero será hasta el último día del mes de febrero.  </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r>
            <w:r w:rsidRPr="00575630">
              <w:rPr>
                <w:rFonts w:ascii="Arial" w:eastAsia="Times New Roman" w:hAnsi="Arial" w:cs="Arial"/>
                <w:b/>
                <w:bCs/>
                <w:color w:val="000000"/>
                <w:sz w:val="21"/>
                <w:szCs w:val="21"/>
                <w:lang w:eastAsia="es-ES"/>
              </w:rPr>
              <w:t>Consecuencias de la implementación del SII</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Como consecuencia de la implantación del Suministro Inmediato de Información del IVA, los sujetos pasivos estarán exonerados de cumplir con las siguientes declaraciones:</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 Modelo 347: Declaración sobre operaciones con terceras personas</w:t>
            </w:r>
            <w:r w:rsidRPr="00575630">
              <w:rPr>
                <w:rFonts w:ascii="Arial" w:eastAsia="Times New Roman" w:hAnsi="Arial" w:cs="Arial"/>
                <w:color w:val="000000"/>
                <w:sz w:val="21"/>
                <w:szCs w:val="21"/>
                <w:lang w:eastAsia="es-ES"/>
              </w:rPr>
              <w:br/>
              <w:t>- Modelo 340: Declaración informativa al contenido de los libros registro</w:t>
            </w:r>
            <w:r w:rsidRPr="00575630">
              <w:rPr>
                <w:rFonts w:ascii="Arial" w:eastAsia="Times New Roman" w:hAnsi="Arial" w:cs="Arial"/>
                <w:color w:val="000000"/>
                <w:sz w:val="21"/>
                <w:szCs w:val="21"/>
                <w:lang w:eastAsia="es-ES"/>
              </w:rPr>
              <w:br/>
              <w:t>- Modelo 390: Declaración Resumen Anual de IVA</w:t>
            </w:r>
            <w:r w:rsidRPr="00575630">
              <w:rPr>
                <w:rFonts w:ascii="Arial" w:eastAsia="Times New Roman" w:hAnsi="Arial" w:cs="Arial"/>
                <w:color w:val="000000"/>
                <w:sz w:val="21"/>
                <w:szCs w:val="21"/>
                <w:lang w:eastAsia="es-ES"/>
              </w:rPr>
              <w:br/>
            </w:r>
            <w:r w:rsidRPr="00575630">
              <w:rPr>
                <w:rFonts w:ascii="Arial" w:eastAsia="Times New Roman" w:hAnsi="Arial" w:cs="Arial"/>
                <w:color w:val="000000"/>
                <w:sz w:val="21"/>
                <w:szCs w:val="21"/>
                <w:lang w:eastAsia="es-ES"/>
              </w:rPr>
              <w:br/>
              <w:t>Asimismo, el sujeto pasivo deberá reflejar en el libro registro de facturas recibidas tanto las cuotas soportadas como la cuota soportada deducible.</w:t>
            </w:r>
          </w:p>
        </w:tc>
      </w:tr>
    </w:tbl>
    <w:p w:rsidR="004D21BD" w:rsidRDefault="004D21BD"/>
    <w:sectPr w:rsidR="004D21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30"/>
    <w:rsid w:val="004D21BD"/>
    <w:rsid w:val="00575630"/>
    <w:rsid w:val="00B164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4650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PABLITO</dc:creator>
  <cp:lastModifiedBy>PABLITO</cp:lastModifiedBy>
  <cp:revision>2</cp:revision>
  <dcterms:created xsi:type="dcterms:W3CDTF">2017-02-07T15:23:00Z</dcterms:created>
  <dcterms:modified xsi:type="dcterms:W3CDTF">2017-02-07T15:23:00Z</dcterms:modified>
</cp:coreProperties>
</file>